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38F" w:rsidRDefault="00AA338F" w:rsidP="00AA338F">
      <w:pPr>
        <w:numPr>
          <w:ilvl w:val="0"/>
          <w:numId w:val="1"/>
        </w:numPr>
        <w:tabs>
          <w:tab w:val="left" w:pos="900"/>
        </w:tabs>
        <w:jc w:val="center"/>
        <w:rPr>
          <w:b/>
        </w:rPr>
      </w:pPr>
      <w:r>
        <w:rPr>
          <w:b/>
        </w:rPr>
        <w:t>ATRIBUŢII SPECIFICE POSTULUI – CONTABIL ȘEF</w:t>
      </w:r>
    </w:p>
    <w:p w:rsidR="00AA338F" w:rsidRDefault="00AA338F" w:rsidP="00AA338F">
      <w:pPr>
        <w:tabs>
          <w:tab w:val="left" w:pos="900"/>
        </w:tabs>
        <w:rPr>
          <w:b/>
        </w:rPr>
      </w:pPr>
    </w:p>
    <w:p w:rsidR="00AA338F" w:rsidRDefault="00AA338F" w:rsidP="00AA338F">
      <w:pPr>
        <w:numPr>
          <w:ilvl w:val="0"/>
          <w:numId w:val="2"/>
        </w:numPr>
        <w:rPr>
          <w:b/>
        </w:rPr>
      </w:pPr>
      <w:r>
        <w:rPr>
          <w:b/>
        </w:rPr>
        <w:t>PROIECTAREA ACTIVITĂŢILOR</w:t>
      </w:r>
    </w:p>
    <w:p w:rsidR="00AA338F" w:rsidRDefault="00AA338F" w:rsidP="00AA338F"/>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60"/>
        <w:gridCol w:w="5760"/>
      </w:tblGrid>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Nr.crt</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Elemente de competenţă</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Indicatori de performanţă</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1.1</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Respectarea planurilor manageriale ale şcolii</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Cunoaşte planurile manageriale ale şcolii şi le respectă în vederea operaţionalizării eficiente a activităţii în compartimentul pe care îl reprezintă</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1.2</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Implicarea în proiectarea activităţii şcolii, la nivelul comartimentului financiar</w:t>
            </w:r>
          </w:p>
        </w:tc>
        <w:tc>
          <w:tcPr>
            <w:tcW w:w="5760" w:type="dxa"/>
            <w:tcBorders>
              <w:top w:val="single" w:sz="4" w:space="0" w:color="auto"/>
              <w:left w:val="single" w:sz="4" w:space="0" w:color="auto"/>
              <w:bottom w:val="single" w:sz="4" w:space="0" w:color="auto"/>
              <w:right w:val="single" w:sz="4" w:space="0" w:color="auto"/>
            </w:tcBorders>
          </w:tcPr>
          <w:p w:rsidR="00AA338F" w:rsidRDefault="00AA338F">
            <w:r>
              <w:t>Se implică nemijlocit la proiectarea activităţii din şcoală împreună cu directorul şcolii în vederea stabilirii necesităţilor unităţii din punct de vedere financiar- contabil şi al dotărilor bazei logistice şi materiale a acesteia;</w:t>
            </w:r>
          </w:p>
          <w:p w:rsidR="00AA338F" w:rsidRDefault="00AA338F"/>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1.3</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 xml:space="preserve">Cunoaşterea şi aplicarea legislaţiei în vigoare </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Se implică activ în achiziţionarea de programe software în domeniul legislativ ;</w:t>
            </w:r>
          </w:p>
          <w:p w:rsidR="00AA338F" w:rsidRDefault="00AA338F">
            <w:r>
              <w:t>Se preocupă permanent de actualizarea bazei legislative din domeniul financiar –contabil şi cunoaşterea , aplicarea ei</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1.4</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Folosirea tehnologiei informatice în proiectare</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Are abilităţi de operare PC şi le foloseşte în proiectarea activităţii</w:t>
            </w:r>
          </w:p>
        </w:tc>
      </w:tr>
    </w:tbl>
    <w:p w:rsidR="00AA338F" w:rsidRDefault="00AA338F" w:rsidP="00AA338F"/>
    <w:p w:rsidR="00AA338F" w:rsidRDefault="00AA338F" w:rsidP="00AA338F"/>
    <w:p w:rsidR="00AA338F" w:rsidRDefault="00AA338F" w:rsidP="00AA338F">
      <w:pPr>
        <w:rPr>
          <w:b/>
        </w:rPr>
      </w:pPr>
      <w:r>
        <w:rPr>
          <w:b/>
        </w:rPr>
        <w:t xml:space="preserve">2. REALIZAREA ACTIVITĂŢILOR </w:t>
      </w:r>
    </w:p>
    <w:p w:rsidR="00AA338F" w:rsidRDefault="00AA338F" w:rsidP="00AA338F">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60"/>
        <w:gridCol w:w="5760"/>
      </w:tblGrid>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Nr.crt</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Elemente de competenţă</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Indicatori de performanţă</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2.1</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Organizarea  activităţilor</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Angajează unitatea şcolară , alături de director , în orice acţiune patrimonială</w:t>
            </w:r>
          </w:p>
          <w:p w:rsidR="00AA338F" w:rsidRDefault="00AA338F">
            <w:r>
              <w:t>Întocmeşte planurile de venituri şi cheltuieli bugetare, extrabugetare la termenele şi în condiţiile stabilite de lege ;</w:t>
            </w:r>
          </w:p>
          <w:p w:rsidR="00AA338F" w:rsidRDefault="00AA338F">
            <w:r>
              <w:t>Întocmeşte acte justificative şi documente contabile cu respectarea formularelor şi regulilor de alcătuire şi completare în vigoare;</w:t>
            </w:r>
          </w:p>
          <w:p w:rsidR="00AA338F" w:rsidRDefault="00AA338F">
            <w:r>
              <w:t>Organizează şi exercită viza de control financiar preventiv în conformitate cu prevederile legale ;</w:t>
            </w:r>
          </w:p>
          <w:p w:rsidR="00AA338F" w:rsidRDefault="00AA338F">
            <w:r>
              <w:t>Întocmeşte împreună cu conducerea şcolii planuri de venituri şi cheltuieli</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2.2</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Înregistrarea şi prelucrarea informatică periodică a datelor în programele de contabilitate</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Se preocupă permanent de înregistrarea şi prelucrarea periodică a datelor în programele de contabilitate;</w:t>
            </w:r>
          </w:p>
          <w:p w:rsidR="00AA338F" w:rsidRDefault="00AA338F">
            <w:r>
              <w:t>Ţine evidenţa financiar –contabilă într-o  bază de date electronică;</w:t>
            </w:r>
          </w:p>
          <w:p w:rsidR="00AA338F" w:rsidRDefault="00AA338F">
            <w:r>
              <w:t>Organizează şi selectează din sistemul electronic naţional ( SEAP) produsele care se vor achiziţiona conform referatelor aprobate;</w:t>
            </w:r>
          </w:p>
          <w:p w:rsidR="00AA338F" w:rsidRDefault="00AA338F">
            <w:r>
              <w:t>Intocmeste  statul de plata si răspunde de asigurarea fluxului financiar în programul de salarii Edusal al MEN conform legislaţiei în vigoare.</w:t>
            </w:r>
          </w:p>
          <w:p w:rsidR="00AA338F" w:rsidRDefault="00AA338F">
            <w:r>
              <w:t xml:space="preserve"> </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2.3</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Monitorizarea activităţii</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Urmăreşte aplicarea şi respectarea tuturor dispoziţiilor legale privind salarizarea şi drepturile personalului didactic, didactic auxiliar şi nedidactic, întocmeşte formele pentru efectuarea încasărilor şi plăţilor în numerar sau prin conturi bancare, pentru urmărirea debitorilor şi creditorilor ;</w:t>
            </w:r>
          </w:p>
          <w:p w:rsidR="00AA338F" w:rsidRDefault="00AA338F">
            <w:r>
              <w:t xml:space="preserve">Înregistrează toate operaţiunile de la bugetul de stat </w:t>
            </w:r>
          </w:p>
          <w:p w:rsidR="00AA338F" w:rsidRDefault="00AA338F">
            <w:r>
              <w:lastRenderedPageBreak/>
              <w:t>( salarii şi cheltuieli materiale , cheltuieli de transport, cheltuieli pentru competitiile sportive, autofinanţare)</w:t>
            </w:r>
          </w:p>
          <w:p w:rsidR="00AA338F" w:rsidRDefault="00AA338F">
            <w:pPr>
              <w:jc w:val="both"/>
              <w:rPr>
                <w:rFonts w:eastAsia="Batang"/>
                <w:lang w:val="it-IT"/>
              </w:rPr>
            </w:pPr>
            <w:r>
              <w:rPr>
                <w:rFonts w:eastAsia="Batang"/>
                <w:lang w:val="it-IT"/>
              </w:rPr>
              <w:t>Respectă termenele pentru cheltuielile cu utilizarea şi întreţinerea microbuzului de transport , se estimează luând în considerare:</w:t>
            </w:r>
          </w:p>
          <w:p w:rsidR="00AA338F" w:rsidRDefault="00AA338F">
            <w:pPr>
              <w:jc w:val="both"/>
              <w:rPr>
                <w:rFonts w:eastAsia="Batang"/>
                <w:lang w:val="it-IT"/>
              </w:rPr>
            </w:pPr>
            <w:r>
              <w:rPr>
                <w:rFonts w:eastAsia="Batang"/>
                <w:lang w:val="it-IT"/>
              </w:rPr>
              <w:t>- rutele aprobate</w:t>
            </w:r>
          </w:p>
          <w:p w:rsidR="00AA338F" w:rsidRDefault="00AA338F">
            <w:pPr>
              <w:jc w:val="both"/>
              <w:rPr>
                <w:rFonts w:eastAsia="Batang"/>
                <w:lang w:val="it-IT"/>
              </w:rPr>
            </w:pPr>
            <w:r>
              <w:rPr>
                <w:rFonts w:eastAsia="Batang"/>
                <w:lang w:val="it-IT"/>
              </w:rPr>
              <w:t>- starea tehnică a microbuzului</w:t>
            </w:r>
          </w:p>
          <w:p w:rsidR="00AA338F" w:rsidRDefault="00AA338F">
            <w:pPr>
              <w:jc w:val="both"/>
              <w:rPr>
                <w:rFonts w:eastAsia="Batang"/>
                <w:lang w:val="it-IT"/>
              </w:rPr>
            </w:pPr>
            <w:r>
              <w:rPr>
                <w:rFonts w:eastAsia="Batang"/>
                <w:lang w:val="it-IT"/>
              </w:rPr>
              <w:t>- taxele legale obligatorii</w:t>
            </w:r>
          </w:p>
          <w:p w:rsidR="00AA338F" w:rsidRDefault="00AA338F">
            <w:pPr>
              <w:jc w:val="both"/>
              <w:rPr>
                <w:rFonts w:eastAsia="Batang"/>
                <w:lang w:val="it-IT"/>
              </w:rPr>
            </w:pPr>
            <w:r>
              <w:rPr>
                <w:rFonts w:eastAsia="Batang"/>
                <w:lang w:val="it-IT"/>
              </w:rPr>
              <w:t>- costurile reviziilor periodice obligatorii</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lastRenderedPageBreak/>
              <w:t>2.4</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Consilierea /îndrumarea şi controlul periodic al personalului care gestionează valori materiale</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Primeşte, verifică , operează în fişele analitice şi sintetice obiectele de inventar la nivel de şcoală, surse de finanţare;</w:t>
            </w:r>
          </w:p>
          <w:p w:rsidR="00AA338F" w:rsidRDefault="00AA338F">
            <w:r>
              <w:t>Repartizează pe bază de referat de necesitate , materiale de întreţinere consumabile;</w:t>
            </w:r>
          </w:p>
          <w:p w:rsidR="00AA338F" w:rsidRDefault="00AA338F">
            <w:r>
              <w:t>Instruieşte şi controlează periodic personalul care gestionează  valori materiale;</w:t>
            </w:r>
          </w:p>
          <w:p w:rsidR="00AA338F" w:rsidRDefault="00AA338F">
            <w:r>
              <w:t>Organizează inventarierea valorilor materiale  şi băneşti, instruieşte şi controlează personalul unităţii în vederea efectuării corecte a operaţiunii de inventariere;</w:t>
            </w:r>
          </w:p>
          <w:p w:rsidR="00AA338F" w:rsidRDefault="00AA338F">
            <w:r>
              <w:t xml:space="preserve"> </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2.5</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Alcătuirea de proceduri</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Elaborează şi actualizează periodic proceduri operaţionale pentru compartimentul financiar -contabil, le aduce la cunoştinţă directorului unităţii şi le comunică comisiei CEAC, adaptându-le la nevoile unităţii şcolare</w:t>
            </w:r>
          </w:p>
          <w:p w:rsidR="00AA338F" w:rsidRDefault="00AA338F">
            <w:r>
              <w:t>Aduce la cunoştinţă poersonalului din subordine conţinutul procedurilor operaţionale.</w:t>
            </w:r>
          </w:p>
        </w:tc>
      </w:tr>
    </w:tbl>
    <w:p w:rsidR="00AA338F" w:rsidRDefault="00AA338F" w:rsidP="00AA338F">
      <w:pPr>
        <w:rPr>
          <w:b/>
        </w:rPr>
      </w:pPr>
    </w:p>
    <w:p w:rsidR="00AA338F" w:rsidRDefault="00AA338F" w:rsidP="00AA338F">
      <w:pPr>
        <w:rPr>
          <w:b/>
        </w:rPr>
      </w:pPr>
      <w:r>
        <w:rPr>
          <w:b/>
        </w:rPr>
        <w:t>3.  COMUNICARE ŞI RELAŢIONARE</w:t>
      </w:r>
    </w:p>
    <w:p w:rsidR="00AA338F" w:rsidRDefault="00AA338F" w:rsidP="00AA338F"/>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60"/>
        <w:gridCol w:w="5760"/>
      </w:tblGrid>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Nr.crt</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Elemente de competenţă</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Indicatori de performanţă</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3.1</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Asigurarea fluxului informaţional al compartimentului</w:t>
            </w:r>
          </w:p>
        </w:tc>
        <w:tc>
          <w:tcPr>
            <w:tcW w:w="5760" w:type="dxa"/>
            <w:tcBorders>
              <w:top w:val="single" w:sz="4" w:space="0" w:color="auto"/>
              <w:left w:val="single" w:sz="4" w:space="0" w:color="auto"/>
              <w:bottom w:val="single" w:sz="4" w:space="0" w:color="auto"/>
              <w:right w:val="single" w:sz="4" w:space="0" w:color="auto"/>
            </w:tcBorders>
          </w:tcPr>
          <w:p w:rsidR="00AA338F" w:rsidRDefault="00AA338F">
            <w:r>
              <w:t>Organizează circuitul documentelor contabile şi înregistrarea lor în mod cronologic şi sistematic în evidenţa contabilă;</w:t>
            </w:r>
          </w:p>
          <w:p w:rsidR="00AA338F" w:rsidRDefault="00AA338F">
            <w:r>
              <w:t>Întocmeşte dările de seamă contabile şi cele statistice, precum şi contul de execuţie bugetară;</w:t>
            </w:r>
          </w:p>
          <w:p w:rsidR="00AA338F" w:rsidRDefault="00AA338F">
            <w:r>
              <w:t>Fundamentează necesarul de credite având în vedere necesităţile unităţilor subordonate.</w:t>
            </w:r>
          </w:p>
          <w:p w:rsidR="00AA338F" w:rsidRDefault="00AA338F"/>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3.2</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Raportarea periodică pentru conducerea instituţiei</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 xml:space="preserve">Se preocupă permanent de aducerea la cunoştinţă a tuturor activităţilor din serviciul contabilitate </w:t>
            </w:r>
          </w:p>
          <w:p w:rsidR="00AA338F" w:rsidRDefault="00AA338F">
            <w:r>
              <w:t>Cere avizul şi aprobarea directorului unităţii pentru toate propunerile privind componenţa comisiilor de recepţie pentru toate bunurile intrate în unitate prin dotări de la buget , din autofinanţare, donaţii,etc. şi a comisiei de casare.</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3.3</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Asigurarea transparenţei deciziilor din compartiment</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Duce la îndeplinire deciziile cu privire la răspunderea materială, disciplinară şi administrativă a salariaţilor;</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3.4</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Evidenţa, gestionarea şi arhivarea documentelor</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Clasează şi păstrează toare actele justificative de cheltuieli, documente contabile, fişele, balanţele de verificare şi răspunde de activitatea financiar- contabilă.</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3.5</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Asigurarea transparenţei privind licitaţiile sau încredinţările directe</w:t>
            </w:r>
          </w:p>
        </w:tc>
        <w:tc>
          <w:tcPr>
            <w:tcW w:w="5760" w:type="dxa"/>
            <w:tcBorders>
              <w:top w:val="single" w:sz="4" w:space="0" w:color="auto"/>
              <w:left w:val="single" w:sz="4" w:space="0" w:color="auto"/>
              <w:bottom w:val="single" w:sz="4" w:space="0" w:color="auto"/>
              <w:right w:val="single" w:sz="4" w:space="0" w:color="auto"/>
            </w:tcBorders>
          </w:tcPr>
          <w:p w:rsidR="00AA338F" w:rsidRDefault="00AA338F">
            <w:r>
              <w:t>Coordonează activitatea de achiziţii conform Ord. 34/2006, Ord. 25/2007.</w:t>
            </w:r>
          </w:p>
          <w:p w:rsidR="00AA338F" w:rsidRDefault="00AA338F"/>
        </w:tc>
      </w:tr>
    </w:tbl>
    <w:p w:rsidR="00AA338F" w:rsidRDefault="00AA338F" w:rsidP="00AA338F"/>
    <w:p w:rsidR="009B4C7F" w:rsidRDefault="009B4C7F" w:rsidP="00AA338F"/>
    <w:p w:rsidR="009B4C7F" w:rsidRDefault="009B4C7F" w:rsidP="00AA338F"/>
    <w:p w:rsidR="009B4C7F" w:rsidRDefault="009B4C7F" w:rsidP="00AA338F">
      <w:pPr>
        <w:rPr>
          <w:b/>
        </w:rPr>
      </w:pPr>
    </w:p>
    <w:p w:rsidR="00AA338F" w:rsidRDefault="00AA338F" w:rsidP="00AA338F">
      <w:pPr>
        <w:rPr>
          <w:b/>
        </w:rPr>
      </w:pPr>
      <w:r>
        <w:rPr>
          <w:b/>
        </w:rPr>
        <w:lastRenderedPageBreak/>
        <w:t xml:space="preserve">4. MANAGEMENTUL CARIEREI ŞI AL DEZVOLTĂRII PERSONALE </w:t>
      </w:r>
    </w:p>
    <w:p w:rsidR="00AA338F" w:rsidRDefault="00AA338F" w:rsidP="00AA338F"/>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60"/>
        <w:gridCol w:w="5760"/>
      </w:tblGrid>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Nr.crt</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Elemente de competenţă</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Indicatori de performanţă</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4.1</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Nivelul şi stagiul propriei pregătiri profesionale</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Participarea la cursuri şi programe de formare specifice postului pe care este încadrată;</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4.2</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Formare profesională şi dezvoltare în carieră</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 xml:space="preserve"> Se preocupă de propria dezvoltare profesională şi manifestă interes în cunoaşterea legislaţiei în vigoare;</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4.3</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Coordonarea personalului din subordine privind managementul carierei</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Manifestă interes pentru îndrumarea personalului din subordine în efectuarea de cursuri de perfecţionare în vederea dezvoltării profesionale şi îi încurajează în acest sens;</w:t>
            </w:r>
          </w:p>
          <w:p w:rsidR="00AA338F" w:rsidRDefault="00AA338F">
            <w:r>
              <w:t>Pune în aplicare cunoştinţele dobândite în cadrul cursurilor de dezvoltare profesională alături de personalul din subordine şi coordonează activitatea acestora în conformitate cu noile reglemetări  în vigoare.</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4.4</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Participarea permanentă la instruirileorganizate de inspectoratul şcolar</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Participă la toate instruirile şi cursurile de perfecţionare, instructajele  propuse de ISJ Buzau .</w:t>
            </w:r>
          </w:p>
        </w:tc>
      </w:tr>
    </w:tbl>
    <w:p w:rsidR="00AA338F" w:rsidRDefault="00AA338F" w:rsidP="00AA338F"/>
    <w:p w:rsidR="00AA338F" w:rsidRDefault="00AA338F" w:rsidP="00AA338F"/>
    <w:p w:rsidR="00AA338F" w:rsidRDefault="00AA338F" w:rsidP="00AA338F">
      <w:pPr>
        <w:rPr>
          <w:b/>
        </w:rPr>
      </w:pPr>
      <w:r>
        <w:rPr>
          <w:b/>
        </w:rPr>
        <w:t xml:space="preserve">5. CONTRIBUŢIA </w:t>
      </w:r>
      <w:smartTag w:uri="urn:schemas-microsoft-com:office:smarttags" w:element="PersonName">
        <w:smartTagPr>
          <w:attr w:name="ProductID" w:val="LA DEZVOLTAREA INSTITUŢIONALĂ"/>
        </w:smartTagPr>
        <w:smartTag w:uri="urn:schemas-microsoft-com:office:smarttags" w:element="PersonName">
          <w:smartTagPr>
            <w:attr w:name="ProductID" w:val="LA DEZVOLTAREA"/>
          </w:smartTagPr>
          <w:r>
            <w:rPr>
              <w:b/>
            </w:rPr>
            <w:t>LA DEZVOLTAREA</w:t>
          </w:r>
        </w:smartTag>
        <w:r>
          <w:rPr>
            <w:b/>
          </w:rPr>
          <w:t xml:space="preserve"> INSTITUŢIONALĂ</w:t>
        </w:r>
      </w:smartTag>
      <w:r>
        <w:rPr>
          <w:b/>
        </w:rPr>
        <w:t xml:space="preserve"> ŞI </w:t>
      </w:r>
      <w:smartTag w:uri="urn:schemas-microsoft-com:office:smarttags" w:element="PersonName">
        <w:smartTagPr>
          <w:attr w:name="ProductID" w:val="LA PROMOVAREA IMAGINII"/>
        </w:smartTagPr>
        <w:smartTag w:uri="urn:schemas-microsoft-com:office:smarttags" w:element="PersonName">
          <w:smartTagPr>
            <w:attr w:name="ProductID" w:val="LA PROMOVAREA"/>
          </w:smartTagPr>
          <w:r>
            <w:rPr>
              <w:b/>
            </w:rPr>
            <w:t>LA PROMOVAREA</w:t>
          </w:r>
        </w:smartTag>
        <w:r>
          <w:rPr>
            <w:b/>
          </w:rPr>
          <w:t xml:space="preserve"> IMAGINII</w:t>
        </w:r>
      </w:smartTag>
      <w:r>
        <w:rPr>
          <w:b/>
        </w:rPr>
        <w:t xml:space="preserve"> ŞCOLII</w:t>
      </w:r>
    </w:p>
    <w:p w:rsidR="00AA338F" w:rsidRDefault="00AA338F" w:rsidP="00AA338F">
      <w:pP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60"/>
        <w:gridCol w:w="5760"/>
      </w:tblGrid>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Nr.crt</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Elemente de competenţă</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Indicatori de performanţă</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5.1</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Planificarea bugetară prin prisma dezvoltării instituţionale şi promovarea imaginii şcolii</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Întocmeşte lunar balanţele analitice la obiectele de inventar şi mijloace fixe;</w:t>
            </w:r>
          </w:p>
          <w:p w:rsidR="00AA338F" w:rsidRDefault="00AA338F">
            <w:r>
              <w:t>Verifică legalitatea trecerii pe cheltuieli a unor sume, în limitele de competenţă stabilite de lege;</w:t>
            </w:r>
          </w:p>
          <w:p w:rsidR="00AA338F" w:rsidRDefault="00AA338F">
            <w:r>
              <w:t>Verifică documentele privind închirierea spaţiilor temporar disponibile şi verifică încasarea chiriilor .</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5.2</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Asigurarea permanentă a legăturii cu reprezentanţii comunităţii locale privind activitatea compartimentului</w:t>
            </w:r>
          </w:p>
        </w:tc>
        <w:tc>
          <w:tcPr>
            <w:tcW w:w="5760" w:type="dxa"/>
            <w:tcBorders>
              <w:top w:val="single" w:sz="4" w:space="0" w:color="auto"/>
              <w:left w:val="single" w:sz="4" w:space="0" w:color="auto"/>
              <w:bottom w:val="single" w:sz="4" w:space="0" w:color="auto"/>
              <w:right w:val="single" w:sz="4" w:space="0" w:color="auto"/>
            </w:tcBorders>
            <w:hideMark/>
          </w:tcPr>
          <w:p w:rsidR="00AA338F" w:rsidRDefault="00AA338F">
            <w:r>
              <w:t>Transmite în termenul stabilit toate situaţiile către ISJ Buzau şi comunică cu aceste instituţii cu privire la activitatea compartimentului pe care îl conduce;</w:t>
            </w:r>
          </w:p>
          <w:p w:rsidR="00AA338F" w:rsidRDefault="00AA338F">
            <w:r>
              <w:t>Stabileşte obligaţiile către bugetul statului şi asigură vărsarea sumelor respective în termenele stabilite;</w:t>
            </w:r>
          </w:p>
          <w:p w:rsidR="00AA338F" w:rsidRDefault="00AA338F">
            <w:r>
              <w:t>Efectuează demersurile pentru fondurile necesare plăţii salariilor şi pentru celelalte acţiuni finanţate de la bugetul de stat sau local.</w:t>
            </w:r>
          </w:p>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5.3</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Îndeplinirea altor atribuţii dispuse de şeful ierarhic superior şi/sau directorul care por rezulta din necesitatea derulării în bune condiţii a atribuţiilor aflate în sfera sa de responsabilitate.</w:t>
            </w:r>
          </w:p>
        </w:tc>
        <w:tc>
          <w:tcPr>
            <w:tcW w:w="5760" w:type="dxa"/>
            <w:tcBorders>
              <w:top w:val="single" w:sz="4" w:space="0" w:color="auto"/>
              <w:left w:val="single" w:sz="4" w:space="0" w:color="auto"/>
              <w:bottom w:val="single" w:sz="4" w:space="0" w:color="auto"/>
              <w:right w:val="single" w:sz="4" w:space="0" w:color="auto"/>
            </w:tcBorders>
          </w:tcPr>
          <w:p w:rsidR="00AA338F" w:rsidRDefault="00AA338F">
            <w:r>
              <w:t>Urmăreşte încadrarea strictă în creditele aprobate pe toate coordonatele clasificaţiei bugetare;</w:t>
            </w:r>
          </w:p>
          <w:p w:rsidR="00AA338F" w:rsidRDefault="00AA338F">
            <w:r>
              <w:t>Verifică</w:t>
            </w:r>
            <w:r w:rsidR="00481926">
              <w:t xml:space="preserve"> statele de plată , indemnizaţi</w:t>
            </w:r>
            <w:r>
              <w:t>ile de concediu de odihnă, concediu medical , statele de plată a burselor,etc.</w:t>
            </w:r>
          </w:p>
          <w:p w:rsidR="00AA338F" w:rsidRDefault="00481926">
            <w:r>
              <w:t>Întocmeşte lunar</w:t>
            </w:r>
            <w:bookmarkStart w:id="0" w:name="_GoBack"/>
            <w:bookmarkEnd w:id="0"/>
            <w:r w:rsidR="00AA338F">
              <w:t xml:space="preserve"> balanţa sintetică de verificare pe solduri şi rulaje , pe surse de finanţare;</w:t>
            </w:r>
          </w:p>
          <w:p w:rsidR="00AA338F" w:rsidRDefault="00AA338F">
            <w:r>
              <w:t xml:space="preserve"> Primeşte şi execută formele de proprire  şi asigură realizarea titlurilor executorii în condiţii legale ;</w:t>
            </w:r>
          </w:p>
          <w:p w:rsidR="00AA338F" w:rsidRDefault="00AA338F">
            <w:r>
              <w:t>Întocmeşte OP-uri pentru furnizori.</w:t>
            </w:r>
          </w:p>
          <w:p w:rsidR="00AA338F" w:rsidRDefault="00AA338F">
            <w:r>
              <w:t>Valorifică, centralizează listele de inventar anuale ale patrimoniului</w:t>
            </w:r>
          </w:p>
          <w:p w:rsidR="00AA338F" w:rsidRDefault="00AA338F"/>
        </w:tc>
      </w:tr>
      <w:tr w:rsidR="00AA338F" w:rsidTr="00AA338F">
        <w:tc>
          <w:tcPr>
            <w:tcW w:w="828" w:type="dxa"/>
            <w:tcBorders>
              <w:top w:val="single" w:sz="4" w:space="0" w:color="auto"/>
              <w:left w:val="single" w:sz="4" w:space="0" w:color="auto"/>
              <w:bottom w:val="single" w:sz="4" w:space="0" w:color="auto"/>
              <w:right w:val="single" w:sz="4" w:space="0" w:color="auto"/>
            </w:tcBorders>
            <w:hideMark/>
          </w:tcPr>
          <w:p w:rsidR="00AA338F" w:rsidRDefault="00AA338F">
            <w:r>
              <w:t>5.4</w:t>
            </w:r>
          </w:p>
        </w:tc>
        <w:tc>
          <w:tcPr>
            <w:tcW w:w="3060" w:type="dxa"/>
            <w:tcBorders>
              <w:top w:val="single" w:sz="4" w:space="0" w:color="auto"/>
              <w:left w:val="single" w:sz="4" w:space="0" w:color="auto"/>
              <w:bottom w:val="single" w:sz="4" w:space="0" w:color="auto"/>
              <w:right w:val="single" w:sz="4" w:space="0" w:color="auto"/>
            </w:tcBorders>
            <w:hideMark/>
          </w:tcPr>
          <w:p w:rsidR="00AA338F" w:rsidRDefault="00AA338F">
            <w:r>
              <w:t>Respectarea normelor , procedurilor de sănătate şi securitate a muncii , de PSI şi ISU pentru toate tipurile de activităţi desfăşurate în cadrul unităţii de învăţământ</w:t>
            </w:r>
          </w:p>
        </w:tc>
        <w:tc>
          <w:tcPr>
            <w:tcW w:w="5760" w:type="dxa"/>
            <w:tcBorders>
              <w:top w:val="single" w:sz="4" w:space="0" w:color="auto"/>
              <w:left w:val="single" w:sz="4" w:space="0" w:color="auto"/>
              <w:bottom w:val="single" w:sz="4" w:space="0" w:color="auto"/>
              <w:right w:val="single" w:sz="4" w:space="0" w:color="auto"/>
            </w:tcBorders>
          </w:tcPr>
          <w:p w:rsidR="00AA338F" w:rsidRDefault="00AA338F">
            <w:r>
              <w:t>Respectă întocmai legislaţia muncii şi legislaţia şcolară, normelede protecţia muncii;</w:t>
            </w:r>
          </w:p>
          <w:p w:rsidR="00AA338F" w:rsidRDefault="00AA338F">
            <w:r>
              <w:t>Evită în spaţiul şcolii dispute şi relaţii neprincipiale cu alţi colegi.</w:t>
            </w:r>
          </w:p>
          <w:p w:rsidR="00AA338F" w:rsidRDefault="00AA338F">
            <w:r>
              <w:t>Respectă prevederile ROI.</w:t>
            </w:r>
          </w:p>
          <w:p w:rsidR="00AA338F" w:rsidRDefault="00AA338F"/>
        </w:tc>
      </w:tr>
    </w:tbl>
    <w:p w:rsidR="00445A92" w:rsidRDefault="00445A92"/>
    <w:sectPr w:rsidR="00445A92" w:rsidSect="009B4C7F">
      <w:pgSz w:w="11906" w:h="16838"/>
      <w:pgMar w:top="567"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B11"/>
    <w:multiLevelType w:val="hybridMultilevel"/>
    <w:tmpl w:val="32D0AA5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2F51D4C"/>
    <w:multiLevelType w:val="hybridMultilevel"/>
    <w:tmpl w:val="8768261E"/>
    <w:lvl w:ilvl="0" w:tplc="D2220530">
      <w:start w:val="1"/>
      <w:numFmt w:val="upperRoman"/>
      <w:lvlText w:val="%1."/>
      <w:lvlJc w:val="left"/>
      <w:pPr>
        <w:tabs>
          <w:tab w:val="num" w:pos="1080"/>
        </w:tabs>
        <w:ind w:left="1080" w:hanging="720"/>
      </w:pPr>
    </w:lvl>
    <w:lvl w:ilvl="1" w:tplc="A2F2B1F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8F"/>
    <w:rsid w:val="00011304"/>
    <w:rsid w:val="00445A92"/>
    <w:rsid w:val="00481926"/>
    <w:rsid w:val="009B4C7F"/>
    <w:rsid w:val="00AA33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2A70B10-AFDA-4A1E-A3D4-64F01BE4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3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9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92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3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1241</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 SECRETARIAT</dc:creator>
  <cp:keywords/>
  <dc:description/>
  <cp:lastModifiedBy>CSS SECRETARIAT</cp:lastModifiedBy>
  <cp:revision>3</cp:revision>
  <cp:lastPrinted>2026-05-08T08:41:00Z</cp:lastPrinted>
  <dcterms:created xsi:type="dcterms:W3CDTF">2026-05-08T07:57:00Z</dcterms:created>
  <dcterms:modified xsi:type="dcterms:W3CDTF">2026-05-08T08:49:00Z</dcterms:modified>
</cp:coreProperties>
</file>